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00" w:lineRule="auto"/>
        <w:jc w:val="center"/>
        <w:rPr/>
      </w:pPr>
      <w:bookmarkStart w:colFirst="0" w:colLast="0" w:name="_heading=h.pqb8755ovyo4" w:id="0"/>
      <w:bookmarkEnd w:id="0"/>
      <w:r w:rsidDel="00000000" w:rsidR="00000000" w:rsidRPr="00000000">
        <w:rPr>
          <w:rtl w:val="0"/>
        </w:rPr>
        <w:t xml:space="preserve">XYZ S.P.A</w:t>
      </w:r>
    </w:p>
    <w:p w:rsidR="00000000" w:rsidDel="00000000" w:rsidP="00000000" w:rsidRDefault="00000000" w:rsidRPr="00000000" w14:paraId="00000002">
      <w:pPr>
        <w:pStyle w:val="Heading1"/>
        <w:spacing w:after="240" w:before="200" w:lineRule="auto"/>
        <w:jc w:val="center"/>
        <w:rPr>
          <w:sz w:val="24"/>
          <w:szCs w:val="24"/>
        </w:rPr>
      </w:pPr>
      <w:bookmarkStart w:colFirst="0" w:colLast="0" w:name="_heading=h.ka2jdygbwo1" w:id="1"/>
      <w:bookmarkEnd w:id="1"/>
      <w:r w:rsidDel="00000000" w:rsidR="00000000" w:rsidRPr="00000000">
        <w:rPr>
          <w:rtl w:val="0"/>
        </w:rPr>
        <w:t xml:space="preserve">Modello organizzativo 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presente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modello organizzativo 231</w:t>
      </w:r>
      <w:r w:rsidDel="00000000" w:rsidR="00000000" w:rsidRPr="00000000">
        <w:rPr>
          <w:sz w:val="24"/>
          <w:szCs w:val="24"/>
          <w:rtl w:val="0"/>
        </w:rPr>
        <w:t xml:space="preserve"> è stato adottato dalla società XYZ operante nel settore alimentare con l’obiettivo di prevenire la commissione di reati che possano comportare la responsabilità amministrativa della società stessa. </w:t>
      </w:r>
    </w:p>
    <w:p w:rsidR="00000000" w:rsidDel="00000000" w:rsidP="00000000" w:rsidRDefault="00000000" w:rsidRPr="00000000" w14:paraId="00000004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particolare, si pone l’accento sulla prevenzione di reati di frode alimentare, violazioni delle normative igienico-sanitarie e altri comportamenti illeciti che possano arrecare danno all’integrità dei prodotti, alla salute dei consumatori e alla reputazione dell’azienda.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dt9sxwv7vdz2" w:id="2"/>
      <w:bookmarkEnd w:id="2"/>
      <w:r w:rsidDel="00000000" w:rsidR="00000000" w:rsidRPr="00000000">
        <w:rPr>
          <w:rtl w:val="0"/>
        </w:rPr>
        <w:t xml:space="preserve">Ambito di applicazione</w:t>
      </w:r>
    </w:p>
    <w:p w:rsidR="00000000" w:rsidDel="00000000" w:rsidP="00000000" w:rsidRDefault="00000000" w:rsidRPr="00000000" w14:paraId="00000006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modello si applica a tutti i livelli dell’organizzazione: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 e amministratori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dirigenti e quadri intermedi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collaboratori esterni e fornitori, laddove coinvolti nei processi produttivi o di controllo qualità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4xi89mj3dkg" w:id="3"/>
      <w:bookmarkEnd w:id="3"/>
      <w:r w:rsidDel="00000000" w:rsidR="00000000" w:rsidRPr="00000000">
        <w:rPr>
          <w:rtl w:val="0"/>
        </w:rPr>
        <w:t xml:space="preserve">Mappatura dei rischi</w:t>
      </w:r>
    </w:p>
    <w:p w:rsidR="00000000" w:rsidDel="00000000" w:rsidP="00000000" w:rsidRDefault="00000000" w:rsidRPr="00000000" w14:paraId="0000000C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società ha individuato le attività a rischio di reato, considerando le specificità del settore alimentare. I principali rischi sono: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Frode alimentare: alterazione della qualità o della provenienza dei prodotti, utilizzo di ingredienti non dichiarati o scaduti.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Violazioni igienico-sanitarie: mancato rispetto delle normative HACCP, conservazione impropria degli alimenti, carenze nei protocolli di pulizia e sanificazione.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Falsificazione di documentazione: registrazioni di temperature, date di scadenza, certificazioni di fornitore non veritiere.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Corruzione e conflitti di interesse: influenze indebite su fornitori o enti di controllo.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o71d3kdkxbrb" w:id="4"/>
      <w:bookmarkEnd w:id="4"/>
      <w:r w:rsidDel="00000000" w:rsidR="00000000" w:rsidRPr="00000000">
        <w:rPr>
          <w:rtl w:val="0"/>
        </w:rPr>
        <w:t xml:space="preserve">Codice etico</w:t>
      </w:r>
    </w:p>
    <w:p w:rsidR="00000000" w:rsidDel="00000000" w:rsidP="00000000" w:rsidRDefault="00000000" w:rsidRPr="00000000" w14:paraId="00000012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codice etico definisce i principi e i valori cui tutti i soggetti coinvolti devono attenersi. In particolare: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rispetto delle leggi e regolamenti vigenti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tutela della sicurezza e della salute dei consumatori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integrità e trasparenza nelle attività aziendali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obbligo di segnalare condotte non conformi attraverso canali interni sicuri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ebl0jky9xksc" w:id="5"/>
      <w:bookmarkEnd w:id="5"/>
      <w:r w:rsidDel="00000000" w:rsidR="00000000" w:rsidRPr="00000000">
        <w:rPr>
          <w:rtl w:val="0"/>
        </w:rPr>
        <w:t xml:space="preserve">Procedure operative</w:t>
      </w:r>
    </w:p>
    <w:p w:rsidR="00000000" w:rsidDel="00000000" w:rsidP="00000000" w:rsidRDefault="00000000" w:rsidRPr="00000000" w14:paraId="00000018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prevenire i rischi identificati, il modello prevede procedure operative dettagliate: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Gestione fornitori e acquisti: selezione dei fornitori basata su criteri di qualità e conformità normativa; controlli documentali e verifiche periodiche in loco.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Controllo qualità e HACCP: monitoraggio continuo delle fasi di produzione, conservazione e distribuzione; registrazione di temperature, lotti e scadenze; test periodici sui prodotti.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Gestione degli allergeni e etichettatura: controlli rigorosi sulle etichette e sulla composizione dei prodotti, per garantire la corretta comunicazione al consumatore.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Tracciabilità dei prodotti: sistemi informatici per seguire l’intero ciclo produttivo, dalla materia prima al prodotto finito.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Segnalazioni interne e whistleblowing: procedure per consentire al personale di segnalare irregolarità senza rischio di ritorsioni.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Formazione del personale: corsi obbligatori su igiene, sicurezza alimentare e normativa 231, aggiornati periodicamente.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uk943tmx6t8w" w:id="6"/>
      <w:bookmarkEnd w:id="6"/>
      <w:r w:rsidDel="00000000" w:rsidR="00000000" w:rsidRPr="00000000">
        <w:rPr>
          <w:rtl w:val="0"/>
        </w:rPr>
        <w:t xml:space="preserve">Organismo di Vigilanza (OdV)</w:t>
      </w:r>
    </w:p>
    <w:p w:rsidR="00000000" w:rsidDel="00000000" w:rsidP="00000000" w:rsidRDefault="00000000" w:rsidRPr="00000000" w14:paraId="00000020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L’Organismo di Vigilanza è responsabile della verifica del rispetto del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modello 231</w:t>
      </w:r>
      <w:r w:rsidDel="00000000" w:rsidR="00000000" w:rsidRPr="00000000">
        <w:rPr>
          <w:sz w:val="24"/>
          <w:szCs w:val="24"/>
          <w:rtl w:val="0"/>
        </w:rPr>
        <w:t xml:space="preserve">. Le principali funzioni dell’OdV sono: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monitorare l’applicazione delle procedure e delle politiche aziendali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effettuare audit periodici sui processi a rischio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valutare eventuali segnalazioni di irregolarità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proporre aggiornamenti del modello in caso di modifiche normative o nuove criticità 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L’OdV opera in piena autonomia e con accesso diretto a tutti i dati necessari per svolgere le proprie funzioni.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r8c2t8fc010f" w:id="7"/>
      <w:bookmarkEnd w:id="7"/>
      <w:r w:rsidDel="00000000" w:rsidR="00000000" w:rsidRPr="00000000">
        <w:rPr>
          <w:rtl w:val="0"/>
        </w:rPr>
        <w:t xml:space="preserve">Sistema sanzionatorio</w:t>
      </w:r>
    </w:p>
    <w:p w:rsidR="00000000" w:rsidDel="00000000" w:rsidP="00000000" w:rsidRDefault="00000000" w:rsidRPr="00000000" w14:paraId="00000027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società prevede un sistema disciplinare proporzionato alle violazioni del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modello 231</w:t>
      </w:r>
      <w:r w:rsidDel="00000000" w:rsidR="00000000" w:rsidRPr="00000000">
        <w:rPr>
          <w:sz w:val="24"/>
          <w:szCs w:val="24"/>
          <w:rtl w:val="0"/>
        </w:rPr>
        <w:t xml:space="preserve">, che può comprendere: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richiami scritti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sospensione temporanea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licenziamento nei casi più gravi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applicazione di provvedimenti contrattuali per collaboratori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sanzioni mirano a garantire il rispetto delle regole e la responsabilizzazione di tutti i soggetti coinvolti.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40" w:before="200" w:lineRule="auto"/>
        <w:jc w:val="both"/>
        <w:rPr/>
      </w:pPr>
      <w:bookmarkStart w:colFirst="0" w:colLast="0" w:name="_heading=h.i2e89dxj4pkr" w:id="8"/>
      <w:bookmarkEnd w:id="8"/>
      <w:r w:rsidDel="00000000" w:rsidR="00000000" w:rsidRPr="00000000">
        <w:rPr>
          <w:rtl w:val="0"/>
        </w:rPr>
        <w:t xml:space="preserve">Monitoraggio e aggiornamento</w:t>
      </w:r>
    </w:p>
    <w:p w:rsidR="00000000" w:rsidDel="00000000" w:rsidP="00000000" w:rsidRDefault="00000000" w:rsidRPr="00000000" w14:paraId="0000002E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L’azienda si impegna a: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Riesaminare periodicamente le procedure e i protocolli.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Aggiornare le mappature dei rischi in base a nuovi prodotti, tecnologie o cambiamenti normativi.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Fornire formazione continua al personale.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Mantenere un registro delle verifiche e delle segnalazioni ricevute.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after="240" w:before="200" w:lineRule="auto"/>
        <w:jc w:val="both"/>
        <w:rPr/>
      </w:pPr>
      <w:bookmarkStart w:colFirst="0" w:colLast="0" w:name="_heading=h.yza34zpo71kx" w:id="9"/>
      <w:bookmarkEnd w:id="9"/>
      <w:r w:rsidDel="00000000" w:rsidR="00000000" w:rsidRPr="00000000">
        <w:rPr>
          <w:rtl w:val="0"/>
        </w:rPr>
        <w:t xml:space="preserve">Conclusioni</w:t>
      </w:r>
    </w:p>
    <w:p w:rsidR="00000000" w:rsidDel="00000000" w:rsidP="00000000" w:rsidRDefault="00000000" w:rsidRPr="00000000" w14:paraId="00000034">
      <w:pPr>
        <w:spacing w:after="24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presente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modello organizzativo 231</w:t>
      </w:r>
      <w:r w:rsidDel="00000000" w:rsidR="00000000" w:rsidRPr="00000000">
        <w:rPr>
          <w:sz w:val="24"/>
          <w:szCs w:val="24"/>
          <w:rtl w:val="0"/>
        </w:rPr>
        <w:t xml:space="preserve"> costituisce uno strumento essenziale per prevenire reati e garantire la conformità alle normative del settore alimentare. Attraverso procedure dettagliate, formazione costante e un organismo di vigilanza indipendente, la società si impegna a tutelare: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salute dei consumatori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qualità dei prodotti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reputazione aziendale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before="20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responsabilità legale della società e dei suoi amministratori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0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L’adozione del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modello 231</w:t>
      </w:r>
      <w:r w:rsidDel="00000000" w:rsidR="00000000" w:rsidRPr="00000000">
        <w:rPr>
          <w:sz w:val="24"/>
          <w:szCs w:val="24"/>
          <w:rtl w:val="0"/>
        </w:rPr>
        <w:t xml:space="preserve"> consente all’azienda di operare in sicurezza e trasparenza, riducendo significativamente il rischio di sanzioni e di comportamenti illeciti, promuovendo al contempo una cultura aziendale etica e responsabile.</w:t>
      </w:r>
    </w:p>
    <w:p w:rsidR="00000000" w:rsidDel="00000000" w:rsidP="00000000" w:rsidRDefault="00000000" w:rsidRPr="00000000" w14:paraId="0000003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uFSEUqOKhofcqpObNKcpdSarQ==">CgMxLjAyDmgucHFiODc1NW92eW80Mg1oLmthMmpkeWdid28xMg5oLmR0OXN4d3Y3dmR6MjINaC40eGk4OW1qM2RrZzIOaC5vNzFkM2tka3hicmIyDmguZWJsMGpreTl4a3NjMg5oLnVrOTQzdG14NnQ4dzIOaC5yOGMydDhmYzAxMGYyDmguaTJlODlkeGo0cGtyMg5oLnl6YTM0enBvNzFreDgAciExc09yM1lZV2pVcXFrcFl0RERabzBLLTJOM2lwVllkTEM=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